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27"/>
        <w:ind w:left="328" w:right="0" w:firstLine="0"/>
        <w:jc w:val="left"/>
        <w:rPr>
          <w:b/>
          <w:sz w:val="36"/>
        </w:rPr>
      </w:pPr>
      <w:r>
        <w:rPr>
          <w:b/>
          <w:sz w:val="36"/>
          <w:u w:val="thick"/>
        </w:rPr>
        <w:t>Orientações sobre a Validação de Atividades Complementares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45"/>
        <w:ind w:left="100"/>
      </w:pPr>
      <w:r>
        <w:rPr/>
        <w:t>Caros discentes do curso de Engenharia Elétrica,</w:t>
      </w: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59" w:lineRule="auto"/>
        <w:ind w:left="100" w:right="115"/>
        <w:jc w:val="both"/>
      </w:pPr>
      <w:r>
        <w:rPr/>
        <w:t>Em virtude do elevado número de falhas nos processos de validação de atividades complementares preparamos esse material com orientações que devem ser observadas para que os processos corram de forma adequada e ágil.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256" w:lineRule="auto"/>
        <w:ind w:left="100" w:right="121"/>
        <w:jc w:val="both"/>
      </w:pPr>
      <w:r>
        <w:rPr/>
        <w:t>A ponto de partida deve ser na página do Portal do Acadêmico que apresenta as informações básicas e os links para as resoluções pertinentes.</w:t>
      </w:r>
    </w:p>
    <w:p>
      <w:pPr>
        <w:pStyle w:val="BodyText"/>
        <w:spacing w:before="164"/>
        <w:ind w:left="100"/>
        <w:jc w:val="both"/>
      </w:pPr>
      <w:hyperlink r:id="rId6">
        <w:r>
          <w:rPr>
            <w:color w:val="0462C1"/>
            <w:u w:val="single" w:color="0462C1"/>
          </w:rPr>
          <w:t>http://www.cct.udesc.br/?id=132</w:t>
        </w:r>
      </w:hyperlink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1254125</wp:posOffset>
            </wp:positionH>
            <wp:positionV relativeFrom="paragraph">
              <wp:posOffset>119269</wp:posOffset>
            </wp:positionV>
            <wp:extent cx="5032168" cy="438226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168" cy="4382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headerReference w:type="default" r:id="rId5"/>
          <w:type w:val="continuous"/>
          <w:pgSz w:w="11910" w:h="16840"/>
          <w:pgMar w:header="932" w:top="2180" w:bottom="280" w:left="980" w:right="960"/>
        </w:sectPr>
      </w:pPr>
    </w:p>
    <w:p>
      <w:pPr>
        <w:pStyle w:val="Heading1"/>
        <w:spacing w:before="20"/>
      </w:pPr>
      <w:r>
        <w:rPr>
          <w:color w:val="FF0000"/>
        </w:rPr>
        <w:t>Prazos?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178" w:after="0"/>
        <w:ind w:left="820" w:right="116" w:hanging="360"/>
        <w:jc w:val="both"/>
        <w:rPr>
          <w:sz w:val="28"/>
        </w:rPr>
      </w:pPr>
      <w:r>
        <w:rPr>
          <w:sz w:val="28"/>
        </w:rPr>
        <w:t>A entrega da solicitação de validação de Atividades Complementares na Secretaria do Departamento do Curso deverá ocorrer </w:t>
      </w:r>
      <w:r>
        <w:rPr>
          <w:sz w:val="28"/>
          <w:u w:val="single"/>
        </w:rPr>
        <w:t>no </w:t>
      </w:r>
      <w:r>
        <w:rPr>
          <w:color w:val="FF0000"/>
          <w:sz w:val="28"/>
          <w:u w:val="single" w:color="000000"/>
        </w:rPr>
        <w:t>mínimo</w:t>
      </w:r>
      <w:r>
        <w:rPr>
          <w:sz w:val="28"/>
          <w:u w:val="single"/>
        </w:rPr>
        <w:t> 30 dias antes da finalização do semestre letivo</w:t>
      </w:r>
      <w:r>
        <w:rPr>
          <w:sz w:val="28"/>
        </w:rPr>
        <w:t>, conforme Calendário Acadêmico da</w:t>
      </w:r>
      <w:r>
        <w:rPr>
          <w:spacing w:val="-19"/>
          <w:sz w:val="28"/>
        </w:rPr>
        <w:t> </w:t>
      </w:r>
      <w:r>
        <w:rPr>
          <w:sz w:val="28"/>
        </w:rPr>
        <w:t>UDESC.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0" w:after="0"/>
        <w:ind w:left="820" w:right="113" w:hanging="360"/>
        <w:jc w:val="both"/>
        <w:rPr>
          <w:sz w:val="28"/>
        </w:rPr>
      </w:pPr>
      <w:r>
        <w:rPr>
          <w:sz w:val="28"/>
        </w:rPr>
        <w:t>A Secretaria de Ensino de Graduação ou a Chefia de Departamento devem apresentar parecer conclusivo sobre a solicitação, </w:t>
      </w:r>
      <w:r>
        <w:rPr>
          <w:sz w:val="28"/>
          <w:u w:val="single"/>
        </w:rPr>
        <w:t>no </w:t>
      </w:r>
      <w:r>
        <w:rPr>
          <w:color w:val="FF0000"/>
          <w:sz w:val="28"/>
          <w:u w:val="single" w:color="000000"/>
        </w:rPr>
        <w:t>máximo</w:t>
      </w:r>
      <w:r>
        <w:rPr>
          <w:sz w:val="28"/>
          <w:u w:val="single"/>
        </w:rPr>
        <w:t> 30 dias após a entrada do documento e até 10 dias antes do término do semestre letivo</w:t>
      </w:r>
      <w:r>
        <w:rPr>
          <w:sz w:val="28"/>
        </w:rPr>
        <w:t>. No DEE, os professores do NDE em sistema de rodízio que avaliam os pedidos de atividades</w:t>
      </w:r>
      <w:r>
        <w:rPr>
          <w:spacing w:val="-2"/>
          <w:sz w:val="28"/>
        </w:rPr>
        <w:t> </w:t>
      </w:r>
      <w:r>
        <w:rPr>
          <w:sz w:val="28"/>
        </w:rPr>
        <w:t>complementares.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</w:pPr>
      <w:r>
        <w:rPr>
          <w:color w:val="FF0000"/>
        </w:rPr>
        <w:t>O que pode ser aproveitado nessa validação?</w:t>
      </w:r>
    </w:p>
    <w:p>
      <w:pPr>
        <w:pStyle w:val="BodyText"/>
        <w:spacing w:before="189"/>
        <w:ind w:left="100"/>
      </w:pPr>
      <w:r>
        <w:rPr/>
        <w:t>Art. 2º - Consideram-se como Atividades Complementares os seguintes tipos: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56" w:lineRule="auto" w:before="188" w:after="0"/>
        <w:ind w:left="100" w:right="115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atividades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de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ensino</w:t>
      </w:r>
      <w:r>
        <w:rPr>
          <w:color w:val="FF0000"/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diferenciam</w:t>
      </w:r>
      <w:r>
        <w:rPr>
          <w:spacing w:val="-7"/>
          <w:sz w:val="28"/>
        </w:rPr>
        <w:t> </w:t>
      </w:r>
      <w:r>
        <w:rPr>
          <w:sz w:val="28"/>
        </w:rPr>
        <w:t>da</w:t>
      </w:r>
      <w:r>
        <w:rPr>
          <w:spacing w:val="-4"/>
          <w:sz w:val="28"/>
        </w:rPr>
        <w:t> </w:t>
      </w:r>
      <w:r>
        <w:rPr>
          <w:sz w:val="28"/>
        </w:rPr>
        <w:t>concepção</w:t>
      </w:r>
      <w:r>
        <w:rPr>
          <w:spacing w:val="-5"/>
          <w:sz w:val="28"/>
        </w:rPr>
        <w:t> </w:t>
      </w:r>
      <w:r>
        <w:rPr>
          <w:sz w:val="28"/>
        </w:rPr>
        <w:t>tradicional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disciplina</w:t>
      </w:r>
      <w:r>
        <w:rPr>
          <w:spacing w:val="-4"/>
          <w:sz w:val="28"/>
        </w:rPr>
        <w:t> </w:t>
      </w:r>
      <w:r>
        <w:rPr>
          <w:sz w:val="28"/>
        </w:rPr>
        <w:t>pela liberdade de escolha, de temáticas na definição de programas ou projetos de experimentação e procedimentos</w:t>
      </w:r>
      <w:r>
        <w:rPr>
          <w:spacing w:val="-4"/>
          <w:sz w:val="28"/>
        </w:rPr>
        <w:t> </w:t>
      </w:r>
      <w:r>
        <w:rPr>
          <w:sz w:val="28"/>
        </w:rPr>
        <w:t>metodológicos;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56" w:lineRule="auto" w:before="171" w:after="0"/>
        <w:ind w:left="100" w:right="11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11"/>
          <w:sz w:val="28"/>
        </w:rPr>
        <w:t> </w:t>
      </w:r>
      <w:r>
        <w:rPr>
          <w:color w:val="FF0000"/>
          <w:sz w:val="28"/>
        </w:rPr>
        <w:t>atividades</w:t>
      </w:r>
      <w:r>
        <w:rPr>
          <w:color w:val="FF0000"/>
          <w:spacing w:val="-14"/>
          <w:sz w:val="28"/>
        </w:rPr>
        <w:t> </w:t>
      </w:r>
      <w:r>
        <w:rPr>
          <w:color w:val="FF0000"/>
          <w:sz w:val="28"/>
        </w:rPr>
        <w:t>de</w:t>
      </w:r>
      <w:r>
        <w:rPr>
          <w:color w:val="FF0000"/>
          <w:spacing w:val="-12"/>
          <w:sz w:val="28"/>
        </w:rPr>
        <w:t> </w:t>
      </w:r>
      <w:r>
        <w:rPr>
          <w:sz w:val="28"/>
        </w:rPr>
        <w:t>extensão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constituam</w:t>
      </w:r>
      <w:r>
        <w:rPr>
          <w:spacing w:val="-11"/>
          <w:sz w:val="28"/>
        </w:rPr>
        <w:t> </w:t>
      </w:r>
      <w:r>
        <w:rPr>
          <w:sz w:val="28"/>
        </w:rPr>
        <w:t>uma</w:t>
      </w:r>
      <w:r>
        <w:rPr>
          <w:spacing w:val="-14"/>
          <w:sz w:val="28"/>
        </w:rPr>
        <w:t> </w:t>
      </w:r>
      <w:r>
        <w:rPr>
          <w:sz w:val="28"/>
        </w:rPr>
        <w:t>oportunidade</w:t>
      </w:r>
      <w:r>
        <w:rPr>
          <w:spacing w:val="-12"/>
          <w:sz w:val="28"/>
        </w:rPr>
        <w:t> </w:t>
      </w:r>
      <w:r>
        <w:rPr>
          <w:sz w:val="28"/>
        </w:rPr>
        <w:t>da</w:t>
      </w:r>
      <w:r>
        <w:rPr>
          <w:spacing w:val="-12"/>
          <w:sz w:val="28"/>
        </w:rPr>
        <w:t> </w:t>
      </w:r>
      <w:r>
        <w:rPr>
          <w:sz w:val="28"/>
        </w:rPr>
        <w:t>comunidade</w:t>
      </w:r>
      <w:r>
        <w:rPr>
          <w:spacing w:val="-11"/>
          <w:sz w:val="28"/>
        </w:rPr>
        <w:t> </w:t>
      </w:r>
      <w:r>
        <w:rPr>
          <w:sz w:val="28"/>
        </w:rPr>
        <w:t>interagir com</w:t>
      </w:r>
      <w:r>
        <w:rPr>
          <w:spacing w:val="-16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Universidade,</w:t>
      </w:r>
      <w:r>
        <w:rPr>
          <w:spacing w:val="-14"/>
          <w:sz w:val="28"/>
        </w:rPr>
        <w:t> </w:t>
      </w:r>
      <w:r>
        <w:rPr>
          <w:sz w:val="28"/>
        </w:rPr>
        <w:t>construindo</w:t>
      </w:r>
      <w:r>
        <w:rPr>
          <w:spacing w:val="-15"/>
          <w:sz w:val="28"/>
        </w:rPr>
        <w:t> </w:t>
      </w:r>
      <w:r>
        <w:rPr>
          <w:sz w:val="28"/>
        </w:rPr>
        <w:t>parcerias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possibilitam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troca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saberes</w:t>
      </w:r>
      <w:r>
        <w:rPr>
          <w:spacing w:val="-12"/>
          <w:sz w:val="28"/>
        </w:rPr>
        <w:t> </w:t>
      </w:r>
      <w:r>
        <w:rPr>
          <w:sz w:val="28"/>
        </w:rPr>
        <w:t>popular e acadêmico com aplicação de metodologias</w:t>
      </w:r>
      <w:r>
        <w:rPr>
          <w:spacing w:val="-7"/>
          <w:sz w:val="28"/>
        </w:rPr>
        <w:t> </w:t>
      </w:r>
      <w:r>
        <w:rPr>
          <w:sz w:val="28"/>
        </w:rPr>
        <w:t>participativas;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59" w:lineRule="auto" w:before="167" w:after="0"/>
        <w:ind w:left="100" w:right="118" w:firstLine="0"/>
        <w:jc w:val="both"/>
        <w:rPr>
          <w:sz w:val="28"/>
        </w:rPr>
      </w:pPr>
      <w:r>
        <w:rPr>
          <w:sz w:val="28"/>
        </w:rPr>
        <w:t>- </w:t>
      </w:r>
      <w:r>
        <w:rPr>
          <w:color w:val="FF0000"/>
          <w:sz w:val="28"/>
        </w:rPr>
        <w:t>atividades de pesquisa </w:t>
      </w:r>
      <w:r>
        <w:rPr>
          <w:sz w:val="28"/>
        </w:rPr>
        <w:t>que promovam a formação da cidadania profissional dos acadêmicos, o intercâmbio, a reelaboração e a produção de conhecimento compartilhado sobre a realidade e alternativas de</w:t>
      </w:r>
      <w:r>
        <w:rPr>
          <w:spacing w:val="-10"/>
          <w:sz w:val="28"/>
        </w:rPr>
        <w:t> </w:t>
      </w:r>
      <w:r>
        <w:rPr>
          <w:sz w:val="28"/>
        </w:rPr>
        <w:t>transformação;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56" w:lineRule="auto" w:before="160" w:after="0"/>
        <w:ind w:left="100" w:right="115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color w:val="FF0000"/>
          <w:sz w:val="28"/>
        </w:rPr>
        <w:t>atividades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de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administração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universitária</w:t>
      </w:r>
      <w:r>
        <w:rPr>
          <w:sz w:val="28"/>
        </w:rPr>
        <w:t>,</w:t>
      </w:r>
      <w:r>
        <w:rPr>
          <w:spacing w:val="-8"/>
          <w:sz w:val="28"/>
        </w:rPr>
        <w:t> </w:t>
      </w:r>
      <w:r>
        <w:rPr>
          <w:sz w:val="28"/>
        </w:rPr>
        <w:t>uma</w:t>
      </w:r>
      <w:r>
        <w:rPr>
          <w:spacing w:val="-7"/>
          <w:sz w:val="28"/>
        </w:rPr>
        <w:t> </w:t>
      </w:r>
      <w:r>
        <w:rPr>
          <w:sz w:val="28"/>
        </w:rPr>
        <w:t>vez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o</w:t>
      </w:r>
      <w:r>
        <w:rPr>
          <w:spacing w:val="-7"/>
          <w:sz w:val="28"/>
        </w:rPr>
        <w:t> </w:t>
      </w:r>
      <w:r>
        <w:rPr>
          <w:sz w:val="28"/>
        </w:rPr>
        <w:t>ambiente</w:t>
      </w:r>
      <w:r>
        <w:rPr>
          <w:spacing w:val="-8"/>
          <w:sz w:val="28"/>
        </w:rPr>
        <w:t> </w:t>
      </w:r>
      <w:r>
        <w:rPr>
          <w:sz w:val="28"/>
        </w:rPr>
        <w:t>universitário</w:t>
      </w:r>
      <w:r>
        <w:rPr>
          <w:spacing w:val="-7"/>
          <w:sz w:val="28"/>
        </w:rPr>
        <w:t> </w:t>
      </w:r>
      <w:r>
        <w:rPr>
          <w:sz w:val="28"/>
        </w:rPr>
        <w:t>é um espaço para a aprendizagem do</w:t>
      </w:r>
      <w:r>
        <w:rPr>
          <w:spacing w:val="-11"/>
          <w:sz w:val="28"/>
        </w:rPr>
        <w:t> </w:t>
      </w:r>
      <w:r>
        <w:rPr>
          <w:sz w:val="28"/>
        </w:rPr>
        <w:t>aluno;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56" w:lineRule="auto" w:before="167" w:after="0"/>
        <w:ind w:left="100" w:right="116" w:firstLine="0"/>
        <w:jc w:val="both"/>
        <w:rPr>
          <w:sz w:val="28"/>
        </w:rPr>
      </w:pPr>
      <w:r>
        <w:rPr>
          <w:sz w:val="28"/>
        </w:rPr>
        <w:t>- </w:t>
      </w:r>
      <w:r>
        <w:rPr>
          <w:color w:val="FF0000"/>
          <w:sz w:val="28"/>
        </w:rPr>
        <w:t>atividades mistas </w:t>
      </w:r>
      <w:r>
        <w:rPr>
          <w:sz w:val="28"/>
        </w:rPr>
        <w:t>de Ensino, Pesquisa, Extensão e/ou Administração Universitária que promovam a indissociabilidade e a articulação teoria e</w:t>
      </w:r>
      <w:r>
        <w:rPr>
          <w:spacing w:val="-17"/>
          <w:sz w:val="28"/>
        </w:rPr>
        <w:t> </w:t>
      </w:r>
      <w:r>
        <w:rPr>
          <w:sz w:val="28"/>
        </w:rPr>
        <w:t>prática;</w:t>
      </w:r>
    </w:p>
    <w:p>
      <w:pPr>
        <w:spacing w:before="164"/>
        <w:ind w:left="100" w:right="0" w:firstLine="0"/>
        <w:jc w:val="left"/>
        <w:rPr>
          <w:i/>
          <w:sz w:val="28"/>
        </w:rPr>
      </w:pPr>
      <w:r>
        <w:rPr>
          <w:i/>
          <w:color w:val="FF0000"/>
          <w:sz w:val="28"/>
        </w:rPr>
        <w:t>(MAIS</w:t>
      </w:r>
      <w:r>
        <w:rPr>
          <w:i/>
          <w:color w:val="FF0000"/>
          <w:spacing w:val="-18"/>
          <w:sz w:val="28"/>
        </w:rPr>
        <w:t> </w:t>
      </w:r>
      <w:r>
        <w:rPr>
          <w:i/>
          <w:color w:val="FF0000"/>
          <w:sz w:val="28"/>
        </w:rPr>
        <w:t>DETALHES</w:t>
      </w:r>
      <w:r>
        <w:rPr>
          <w:i/>
          <w:color w:val="FF0000"/>
          <w:spacing w:val="-20"/>
          <w:sz w:val="28"/>
        </w:rPr>
        <w:t> </w:t>
      </w:r>
      <w:r>
        <w:rPr>
          <w:i/>
          <w:color w:val="FF0000"/>
          <w:sz w:val="28"/>
        </w:rPr>
        <w:t>SOBRE</w:t>
      </w:r>
      <w:r>
        <w:rPr>
          <w:i/>
          <w:color w:val="FF0000"/>
          <w:spacing w:val="-16"/>
          <w:sz w:val="28"/>
        </w:rPr>
        <w:t> </w:t>
      </w:r>
      <w:r>
        <w:rPr>
          <w:i/>
          <w:color w:val="FF0000"/>
          <w:sz w:val="28"/>
        </w:rPr>
        <w:t>CRÉDITOS</w:t>
      </w:r>
      <w:r>
        <w:rPr>
          <w:i/>
          <w:color w:val="FF0000"/>
          <w:spacing w:val="-18"/>
          <w:sz w:val="28"/>
        </w:rPr>
        <w:t> </w:t>
      </w:r>
      <w:r>
        <w:rPr>
          <w:i/>
          <w:color w:val="FF0000"/>
          <w:sz w:val="28"/>
        </w:rPr>
        <w:t>E</w:t>
      </w:r>
      <w:r>
        <w:rPr>
          <w:i/>
          <w:color w:val="FF0000"/>
          <w:spacing w:val="-18"/>
          <w:sz w:val="28"/>
        </w:rPr>
        <w:t> </w:t>
      </w:r>
      <w:r>
        <w:rPr>
          <w:i/>
          <w:color w:val="FF0000"/>
          <w:sz w:val="28"/>
        </w:rPr>
        <w:t>ATIVIDASDES</w:t>
      </w:r>
      <w:r>
        <w:rPr>
          <w:i/>
          <w:color w:val="FF0000"/>
          <w:spacing w:val="-18"/>
          <w:sz w:val="28"/>
        </w:rPr>
        <w:t> </w:t>
      </w:r>
      <w:r>
        <w:rPr>
          <w:i/>
          <w:color w:val="FF0000"/>
          <w:sz w:val="28"/>
        </w:rPr>
        <w:t>VER</w:t>
      </w:r>
      <w:r>
        <w:rPr>
          <w:i/>
          <w:color w:val="FF0000"/>
          <w:spacing w:val="-17"/>
          <w:sz w:val="28"/>
        </w:rPr>
        <w:t> </w:t>
      </w:r>
      <w:r>
        <w:rPr>
          <w:i/>
          <w:color w:val="FF0000"/>
          <w:sz w:val="28"/>
        </w:rPr>
        <w:t>O</w:t>
      </w:r>
      <w:r>
        <w:rPr>
          <w:i/>
          <w:color w:val="FF0000"/>
          <w:spacing w:val="-20"/>
          <w:sz w:val="28"/>
        </w:rPr>
        <w:t> </w:t>
      </w:r>
      <w:r>
        <w:rPr>
          <w:i/>
          <w:color w:val="FF0000"/>
          <w:sz w:val="28"/>
        </w:rPr>
        <w:t>ANEXO</w:t>
      </w:r>
      <w:r>
        <w:rPr>
          <w:i/>
          <w:color w:val="FF0000"/>
          <w:spacing w:val="-17"/>
          <w:sz w:val="28"/>
        </w:rPr>
        <w:t> </w:t>
      </w:r>
      <w:r>
        <w:rPr>
          <w:i/>
          <w:color w:val="FF0000"/>
          <w:sz w:val="28"/>
        </w:rPr>
        <w:t>1</w:t>
      </w:r>
      <w:r>
        <w:rPr>
          <w:i/>
          <w:color w:val="FF0000"/>
          <w:spacing w:val="-19"/>
          <w:sz w:val="28"/>
        </w:rPr>
        <w:t> </w:t>
      </w:r>
      <w:r>
        <w:rPr>
          <w:i/>
          <w:color w:val="FF0000"/>
          <w:sz w:val="28"/>
        </w:rPr>
        <w:t>DA</w:t>
      </w:r>
      <w:r>
        <w:rPr>
          <w:i/>
          <w:color w:val="FF0000"/>
          <w:spacing w:val="-17"/>
          <w:sz w:val="28"/>
        </w:rPr>
        <w:t> </w:t>
      </w:r>
      <w:r>
        <w:rPr>
          <w:i/>
          <w:color w:val="FF0000"/>
          <w:sz w:val="28"/>
        </w:rPr>
        <w:t>RESOLUÇÃO</w:t>
      </w:r>
      <w:r>
        <w:rPr>
          <w:i/>
          <w:color w:val="FF0000"/>
          <w:spacing w:val="-13"/>
          <w:sz w:val="28"/>
        </w:rPr>
        <w:t> </w:t>
      </w:r>
      <w:r>
        <w:rPr>
          <w:i/>
          <w:color w:val="FF0000"/>
          <w:sz w:val="28"/>
        </w:rPr>
        <w:t>026)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30"/>
        </w:rPr>
      </w:pPr>
    </w:p>
    <w:p>
      <w:pPr>
        <w:pStyle w:val="Heading1"/>
      </w:pPr>
      <w:r>
        <w:rPr>
          <w:color w:val="FF0000"/>
        </w:rPr>
        <w:t>Quantos créditos preciso validar?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175" w:after="0"/>
        <w:ind w:left="820" w:right="116" w:hanging="360"/>
        <w:jc w:val="both"/>
        <w:rPr>
          <w:sz w:val="28"/>
        </w:rPr>
      </w:pPr>
      <w:r>
        <w:rPr>
          <w:sz w:val="28"/>
        </w:rPr>
        <w:t>O Plano Pedagógico do Curso exige </w:t>
      </w:r>
      <w:r>
        <w:rPr>
          <w:color w:val="FF0000"/>
          <w:sz w:val="28"/>
        </w:rPr>
        <w:t>36 créditos </w:t>
      </w:r>
      <w:r>
        <w:rPr>
          <w:sz w:val="28"/>
        </w:rPr>
        <w:t>em atividades complementares para se formar. Solicite apenas as atividades</w:t>
      </w:r>
      <w:r>
        <w:rPr>
          <w:spacing w:val="-9"/>
          <w:sz w:val="28"/>
        </w:rPr>
        <w:t> </w:t>
      </w:r>
      <w:r>
        <w:rPr>
          <w:sz w:val="28"/>
        </w:rPr>
        <w:t>necessárias.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932" w:footer="0" w:top="2180" w:bottom="280" w:left="980" w:right="960"/>
        </w:sectPr>
      </w:pPr>
    </w:p>
    <w:p>
      <w:pPr>
        <w:pStyle w:val="Heading1"/>
        <w:spacing w:before="20"/>
      </w:pPr>
      <w:r>
        <w:rPr>
          <w:color w:val="FF0000"/>
        </w:rPr>
        <w:t>Atenção para a etapa de preenchimento: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2" w:lineRule="auto" w:before="178" w:after="0"/>
        <w:ind w:left="820" w:right="117" w:hanging="360"/>
        <w:jc w:val="left"/>
        <w:rPr>
          <w:sz w:val="28"/>
        </w:rPr>
      </w:pPr>
      <w:r>
        <w:rPr>
          <w:sz w:val="28"/>
        </w:rPr>
        <w:t>Utilize o Anexo 2 da Resolução, que pode ser solicitado na secretaria, inserindo suas atividades na </w:t>
      </w:r>
      <w:r>
        <w:rPr>
          <w:color w:val="FF0000"/>
          <w:sz w:val="28"/>
        </w:rPr>
        <w:t>ordem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cronológica</w:t>
      </w:r>
      <w:r>
        <w:rPr>
          <w:sz w:val="28"/>
        </w:rPr>
        <w:t>: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717824</wp:posOffset>
            </wp:positionH>
            <wp:positionV relativeFrom="paragraph">
              <wp:posOffset>173864</wp:posOffset>
            </wp:positionV>
            <wp:extent cx="3139086" cy="2043683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086" cy="204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4011335</wp:posOffset>
            </wp:positionH>
            <wp:positionV relativeFrom="paragraph">
              <wp:posOffset>831410</wp:posOffset>
            </wp:positionV>
            <wp:extent cx="2528767" cy="1152144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76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sz w:val="28"/>
        </w:rPr>
        <w:t>Verificar antes no </w:t>
      </w:r>
      <w:r>
        <w:rPr>
          <w:b/>
          <w:color w:val="FF0000"/>
          <w:sz w:val="28"/>
        </w:rPr>
        <w:t>SIGA </w:t>
      </w:r>
      <w:r>
        <w:rPr>
          <w:sz w:val="28"/>
        </w:rPr>
        <w:t>se algumas das suas atividades já não foram</w:t>
      </w:r>
      <w:r>
        <w:rPr>
          <w:spacing w:val="-19"/>
          <w:sz w:val="28"/>
        </w:rPr>
        <w:t> </w:t>
      </w:r>
      <w:r>
        <w:rPr>
          <w:sz w:val="28"/>
        </w:rPr>
        <w:t>validadas.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1" w:after="0"/>
        <w:ind w:left="820" w:right="0" w:hanging="360"/>
        <w:jc w:val="left"/>
        <w:rPr>
          <w:sz w:val="28"/>
        </w:rPr>
      </w:pPr>
      <w:r>
        <w:rPr>
          <w:sz w:val="28"/>
        </w:rPr>
        <w:t>Todos os campos são de preenchimento</w:t>
      </w:r>
      <w:r>
        <w:rPr>
          <w:spacing w:val="-5"/>
          <w:sz w:val="28"/>
        </w:rPr>
        <w:t> </w:t>
      </w:r>
      <w:r>
        <w:rPr>
          <w:b/>
          <w:color w:val="FF0000"/>
          <w:sz w:val="28"/>
        </w:rPr>
        <w:t>obrigatório</w:t>
      </w:r>
      <w:r>
        <w:rPr>
          <w:sz w:val="28"/>
        </w:rPr>
        <w:t>: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40" w:lineRule="auto" w:before="24" w:after="0"/>
        <w:ind w:left="1540" w:right="0" w:hanging="360"/>
        <w:jc w:val="left"/>
        <w:rPr>
          <w:sz w:val="28"/>
        </w:rPr>
      </w:pPr>
      <w:r>
        <w:rPr>
          <w:sz w:val="28"/>
          <w:u w:val="single"/>
        </w:rPr>
        <w:t>Semestre</w:t>
      </w:r>
      <w:r>
        <w:rPr>
          <w:sz w:val="28"/>
        </w:rPr>
        <w:t>: o(s) semestres em que ocorreu a</w:t>
      </w:r>
      <w:r>
        <w:rPr>
          <w:spacing w:val="-12"/>
          <w:sz w:val="28"/>
        </w:rPr>
        <w:t> </w:t>
      </w:r>
      <w:r>
        <w:rPr>
          <w:sz w:val="28"/>
        </w:rPr>
        <w:t>atividade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56" w:lineRule="auto" w:before="17" w:after="0"/>
        <w:ind w:left="1540" w:right="115" w:hanging="360"/>
        <w:jc w:val="both"/>
        <w:rPr>
          <w:b/>
          <w:i/>
          <w:sz w:val="28"/>
        </w:rPr>
      </w:pPr>
      <w:r>
        <w:rPr>
          <w:sz w:val="28"/>
          <w:u w:val="single"/>
        </w:rPr>
        <w:t>Horas</w:t>
      </w:r>
      <w:r>
        <w:rPr>
          <w:sz w:val="28"/>
        </w:rPr>
        <w:t>: soma das horas da atividade que deve ser comprovada na documentação entregue. </w:t>
      </w:r>
      <w:r>
        <w:rPr>
          <w:b/>
          <w:i/>
          <w:color w:val="FF0000"/>
          <w:sz w:val="28"/>
        </w:rPr>
        <w:t>Importante: </w:t>
      </w:r>
      <w:r>
        <w:rPr>
          <w:b/>
          <w:i/>
          <w:sz w:val="28"/>
        </w:rPr>
        <w:t>a documentação original deve</w:t>
      </w:r>
      <w:r>
        <w:rPr>
          <w:b/>
          <w:i/>
          <w:spacing w:val="-31"/>
          <w:sz w:val="28"/>
        </w:rPr>
        <w:t> </w:t>
      </w:r>
      <w:r>
        <w:rPr>
          <w:b/>
          <w:i/>
          <w:sz w:val="28"/>
        </w:rPr>
        <w:t>ser </w:t>
      </w:r>
      <w:r>
        <w:rPr>
          <w:b/>
          <w:i/>
          <w:sz w:val="28"/>
        </w:rPr>
        <w:t>apresentada na secretaria, mas somente as cópias dos comprovantes seguirão no processo com o carimbo de “confere com o original” dado pela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secretaria.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52" w:lineRule="auto" w:before="8" w:after="0"/>
        <w:ind w:left="1540" w:right="116" w:hanging="360"/>
        <w:jc w:val="both"/>
        <w:rPr>
          <w:sz w:val="28"/>
        </w:rPr>
      </w:pPr>
      <w:r>
        <w:rPr>
          <w:sz w:val="28"/>
          <w:u w:val="single"/>
        </w:rPr>
        <w:t>Créditos</w:t>
      </w:r>
      <w:r>
        <w:rPr>
          <w:sz w:val="28"/>
        </w:rPr>
        <w:t>: número de créditos para a atividade conforme estabelecido no Anexo 1. </w:t>
      </w:r>
      <w:r>
        <w:rPr>
          <w:color w:val="FF0000"/>
          <w:sz w:val="28"/>
        </w:rPr>
        <w:t>Não extrapolar o máximo permitido por</w:t>
      </w:r>
      <w:r>
        <w:rPr>
          <w:color w:val="FF0000"/>
          <w:spacing w:val="-7"/>
          <w:sz w:val="28"/>
        </w:rPr>
        <w:t> </w:t>
      </w:r>
      <w:r>
        <w:rPr>
          <w:color w:val="FF0000"/>
          <w:sz w:val="28"/>
        </w:rPr>
        <w:t>atividade.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40" w:lineRule="auto" w:before="10" w:after="0"/>
        <w:ind w:left="1540" w:right="0" w:hanging="360"/>
        <w:jc w:val="left"/>
        <w:rPr>
          <w:sz w:val="28"/>
        </w:rPr>
      </w:pPr>
      <w:r>
        <w:rPr>
          <w:sz w:val="28"/>
          <w:u w:val="single"/>
        </w:rPr>
        <w:t>Código:</w:t>
      </w:r>
      <w:r>
        <w:rPr>
          <w:sz w:val="28"/>
        </w:rPr>
        <w:t> conforme tabela do Anexo</w:t>
      </w:r>
      <w:r>
        <w:rPr>
          <w:spacing w:val="-8"/>
          <w:sz w:val="28"/>
        </w:rPr>
        <w:t> </w:t>
      </w:r>
      <w:r>
        <w:rPr>
          <w:sz w:val="28"/>
        </w:rPr>
        <w:t>1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40" w:lineRule="auto" w:before="19" w:after="0"/>
        <w:ind w:left="1540" w:right="0" w:hanging="360"/>
        <w:jc w:val="left"/>
        <w:rPr>
          <w:sz w:val="28"/>
        </w:rPr>
      </w:pPr>
      <w:r>
        <w:rPr>
          <w:sz w:val="28"/>
          <w:u w:val="single"/>
        </w:rPr>
        <w:t>Instituição:</w:t>
      </w:r>
      <w:r>
        <w:rPr>
          <w:sz w:val="28"/>
        </w:rPr>
        <w:t> UDESC ou outra que o aluno tenha realizado a</w:t>
      </w:r>
      <w:r>
        <w:rPr>
          <w:spacing w:val="-21"/>
          <w:sz w:val="28"/>
        </w:rPr>
        <w:t> </w:t>
      </w:r>
      <w:r>
        <w:rPr>
          <w:sz w:val="28"/>
        </w:rPr>
        <w:t>atividade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40" w:lineRule="auto" w:before="19" w:after="0"/>
        <w:ind w:left="1540" w:right="0" w:hanging="360"/>
        <w:jc w:val="left"/>
        <w:rPr>
          <w:sz w:val="28"/>
        </w:rPr>
      </w:pPr>
      <w:r>
        <w:rPr>
          <w:sz w:val="28"/>
          <w:u w:val="single"/>
        </w:rPr>
        <w:t>Descrição:</w:t>
      </w:r>
      <w:r>
        <w:rPr>
          <w:sz w:val="28"/>
        </w:rPr>
        <w:t> Descrição da</w:t>
      </w:r>
      <w:r>
        <w:rPr>
          <w:spacing w:val="-7"/>
          <w:sz w:val="28"/>
        </w:rPr>
        <w:t> </w:t>
      </w:r>
      <w:r>
        <w:rPr>
          <w:sz w:val="28"/>
        </w:rPr>
        <w:t>atividade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56" w:lineRule="auto" w:before="17" w:after="0"/>
        <w:ind w:left="1540" w:right="116" w:hanging="360"/>
        <w:jc w:val="both"/>
        <w:rPr>
          <w:sz w:val="28"/>
        </w:rPr>
      </w:pPr>
      <w:r>
        <w:rPr>
          <w:sz w:val="28"/>
          <w:u w:val="single"/>
        </w:rPr>
        <w:t>Período:</w:t>
      </w:r>
      <w:r>
        <w:rPr>
          <w:sz w:val="28"/>
        </w:rPr>
        <w:t> não é o mesmo que semestre, pois deve-se indicar as datas de início e fim da atividade complementar. Exemplo: Uma participação na semana das engenharias poderá ter como semestre 2016-2 mas no período deve constar 15/08/2016 a</w:t>
      </w:r>
      <w:r>
        <w:rPr>
          <w:spacing w:val="-10"/>
          <w:sz w:val="28"/>
        </w:rPr>
        <w:t> </w:t>
      </w:r>
      <w:r>
        <w:rPr>
          <w:sz w:val="28"/>
        </w:rPr>
        <w:t>19/08/2016.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8"/>
        </w:rPr>
      </w:pPr>
      <w:r>
        <w:rPr>
          <w:sz w:val="28"/>
        </w:rPr>
        <w:t>Documentos de Comprovação das</w:t>
      </w:r>
      <w:r>
        <w:rPr>
          <w:spacing w:val="-4"/>
          <w:sz w:val="28"/>
        </w:rPr>
        <w:t> </w:t>
      </w:r>
      <w:r>
        <w:rPr>
          <w:sz w:val="28"/>
        </w:rPr>
        <w:t>Atividades:</w:t>
      </w:r>
    </w:p>
    <w:p>
      <w:pPr>
        <w:pStyle w:val="ListParagraph"/>
        <w:numPr>
          <w:ilvl w:val="2"/>
          <w:numId w:val="2"/>
        </w:numPr>
        <w:tabs>
          <w:tab w:pos="1541" w:val="left" w:leader="none"/>
        </w:tabs>
        <w:spacing w:line="254" w:lineRule="auto" w:before="22" w:after="0"/>
        <w:ind w:left="1540" w:right="118" w:hanging="360"/>
        <w:jc w:val="both"/>
        <w:rPr>
          <w:sz w:val="28"/>
        </w:rPr>
      </w:pPr>
      <w:r>
        <w:rPr>
          <w:sz w:val="28"/>
        </w:rPr>
        <w:t>Os certificados, atestados, diplomas, e afins, devem conter os dados necessários ao preenchimento do Anexo 2, principalmente </w:t>
      </w:r>
      <w:r>
        <w:rPr>
          <w:b/>
          <w:color w:val="FF0000"/>
          <w:sz w:val="28"/>
        </w:rPr>
        <w:t>datas, carga horária, instituição e assinaturas dos responsáveis </w:t>
      </w:r>
      <w:r>
        <w:rPr>
          <w:sz w:val="28"/>
        </w:rPr>
        <w:t>pela</w:t>
      </w:r>
      <w:r>
        <w:rPr>
          <w:spacing w:val="-12"/>
          <w:sz w:val="28"/>
        </w:rPr>
        <w:t> </w:t>
      </w:r>
      <w:r>
        <w:rPr>
          <w:sz w:val="28"/>
        </w:rPr>
        <w:t>atividade.</w:t>
      </w:r>
    </w:p>
    <w:sectPr>
      <w:pgSz w:w="11910" w:h="16840"/>
      <w:pgMar w:header="932" w:footer="0" w:top="21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MS UI Gothic">
    <w:altName w:val="MS UI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55">
          <wp:simplePos x="0" y="0"/>
          <wp:positionH relativeFrom="page">
            <wp:posOffset>759045</wp:posOffset>
          </wp:positionH>
          <wp:positionV relativeFrom="page">
            <wp:posOffset>592061</wp:posOffset>
          </wp:positionV>
          <wp:extent cx="2783328" cy="5193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3328" cy="519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079">
          <wp:simplePos x="0" y="0"/>
          <wp:positionH relativeFrom="page">
            <wp:posOffset>4607559</wp:posOffset>
          </wp:positionH>
          <wp:positionV relativeFrom="page">
            <wp:posOffset>632459</wp:posOffset>
          </wp:positionV>
          <wp:extent cx="2263140" cy="40512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63140" cy="40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3352" from="54pt,108.909065pt" to="530.3103pt,108.909065pt" stroked="true" strokeweight=".7169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31"/>
        <w:jc w:val="left"/>
      </w:pPr>
      <w:rPr>
        <w:rFonts w:hint="default" w:ascii="Calibri" w:hAnsi="Calibri" w:eastAsia="Calibri" w:cs="Calibri"/>
        <w:w w:val="100"/>
        <w:sz w:val="28"/>
        <w:szCs w:val="28"/>
        <w:lang w:val="pt-br" w:eastAsia="pt-br" w:bidi="pt-br"/>
      </w:rPr>
    </w:lvl>
    <w:lvl w:ilvl="1">
      <w:start w:val="0"/>
      <w:numFmt w:val="bullet"/>
      <w:lvlText w:val="➢"/>
      <w:lvlJc w:val="left"/>
      <w:pPr>
        <w:ind w:left="820" w:hanging="360"/>
      </w:pPr>
      <w:rPr>
        <w:rFonts w:hint="default" w:ascii="MS UI Gothic" w:hAnsi="MS UI Gothic" w:eastAsia="MS UI Gothic" w:cs="MS UI Gothic"/>
        <w:w w:val="79"/>
        <w:sz w:val="28"/>
        <w:szCs w:val="28"/>
        <w:lang w:val="pt-br" w:eastAsia="pt-br" w:bidi="pt-br"/>
      </w:rPr>
    </w:lvl>
    <w:lvl w:ilvl="2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8"/>
        <w:szCs w:val="28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593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9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53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59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➢"/>
      <w:lvlJc w:val="left"/>
      <w:pPr>
        <w:ind w:left="820" w:hanging="360"/>
      </w:pPr>
      <w:rPr>
        <w:rFonts w:hint="default" w:ascii="MS UI Gothic" w:hAnsi="MS UI Gothic" w:eastAsia="MS UI Gothic" w:cs="MS UI Gothic"/>
        <w:w w:val="79"/>
        <w:sz w:val="28"/>
        <w:szCs w:val="2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734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07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22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37" w:hanging="360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540" w:hanging="36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ct.udesc.br/?id=132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Andrade</dc:creator>
  <dcterms:created xsi:type="dcterms:W3CDTF">2017-11-08T12:28:26Z</dcterms:created>
  <dcterms:modified xsi:type="dcterms:W3CDTF">2017-11-08T12:28:26Z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2017-11-08T00:00:00Z</vt:filetime>
  </property>
</Properties>
</file>